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A5" w:rsidRPr="00D6321E" w:rsidRDefault="00BB4FA5" w:rsidP="00BB4FA5">
      <w:pPr>
        <w:pStyle w:val="Nosaukums"/>
        <w:tabs>
          <w:tab w:val="left" w:pos="9639"/>
        </w:tabs>
        <w:rPr>
          <w:rFonts w:ascii="Lithos Pro Regular" w:hAnsi="Lithos Pro Regular"/>
          <w:color w:val="000080"/>
          <w:kern w:val="16"/>
          <w:szCs w:val="28"/>
        </w:rPr>
      </w:pPr>
      <w:r w:rsidRPr="00D6321E">
        <w:rPr>
          <w:noProof/>
          <w:kern w:val="16"/>
          <w:sz w:val="16"/>
          <w:lang w:eastAsia="lv-LV"/>
        </w:rPr>
        <w:drawing>
          <wp:inline distT="0" distB="0" distL="0" distR="0" wp14:anchorId="4247E7BE" wp14:editId="5B923399">
            <wp:extent cx="723265" cy="797560"/>
            <wp:effectExtent l="0" t="0" r="635" b="2540"/>
            <wp:docPr id="2" name="Attēls 2" descr="LKrA logo- tikai 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rA logo- tikai 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A5" w:rsidRPr="00D6321E" w:rsidRDefault="00BB4FA5" w:rsidP="00BB4FA5">
      <w:pPr>
        <w:pStyle w:val="Nosaukums"/>
        <w:tabs>
          <w:tab w:val="left" w:pos="9639"/>
        </w:tabs>
        <w:rPr>
          <w:kern w:val="16"/>
          <w:sz w:val="16"/>
        </w:rPr>
      </w:pPr>
    </w:p>
    <w:p w:rsidR="00BB4FA5" w:rsidRPr="00D6321E" w:rsidRDefault="00BB4FA5" w:rsidP="00BB4FA5">
      <w:pPr>
        <w:pStyle w:val="Nosaukums"/>
        <w:tabs>
          <w:tab w:val="left" w:pos="9639"/>
        </w:tabs>
        <w:rPr>
          <w:kern w:val="16"/>
          <w:sz w:val="16"/>
        </w:rPr>
      </w:pPr>
      <w:r w:rsidRPr="00D6321E">
        <w:rPr>
          <w:kern w:val="16"/>
          <w:sz w:val="16"/>
        </w:rPr>
        <w:t>SABIEDRĪBA AR IEROBEŽOTU ATBILDĪBU</w:t>
      </w:r>
    </w:p>
    <w:p w:rsidR="00BB4FA5" w:rsidRPr="00D6321E" w:rsidRDefault="00BB4FA5" w:rsidP="00BB4FA5">
      <w:pPr>
        <w:pStyle w:val="Nosaukums"/>
        <w:tabs>
          <w:tab w:val="left" w:pos="9639"/>
        </w:tabs>
        <w:rPr>
          <w:b/>
          <w:kern w:val="16"/>
        </w:rPr>
      </w:pPr>
      <w:r w:rsidRPr="00D6321E">
        <w:rPr>
          <w:b/>
          <w:kern w:val="16"/>
        </w:rPr>
        <w:t>LATVIJAS KRISTĪGĀ AKADĒMIJA</w:t>
      </w:r>
    </w:p>
    <w:p w:rsidR="00BB4FA5" w:rsidRPr="00D6321E" w:rsidRDefault="00BB4FA5" w:rsidP="00BB4FA5">
      <w:pPr>
        <w:pStyle w:val="Apakvirsraksts"/>
        <w:pBdr>
          <w:top w:val="thinThickSmallGap" w:sz="18" w:space="1" w:color="auto"/>
        </w:pBdr>
        <w:tabs>
          <w:tab w:val="clear" w:pos="4820"/>
          <w:tab w:val="clear" w:pos="7655"/>
          <w:tab w:val="left" w:pos="7560"/>
        </w:tabs>
        <w:spacing w:before="80"/>
        <w:rPr>
          <w:kern w:val="16"/>
          <w:szCs w:val="16"/>
        </w:rPr>
      </w:pPr>
      <w:r w:rsidRPr="00D6321E">
        <w:rPr>
          <w:kern w:val="16"/>
          <w:szCs w:val="16"/>
        </w:rPr>
        <w:t>Reģ. Nr. 40003129210</w:t>
      </w:r>
      <w:r w:rsidRPr="00D6321E">
        <w:rPr>
          <w:kern w:val="16"/>
          <w:szCs w:val="16"/>
        </w:rPr>
        <w:tab/>
      </w:r>
      <w:r>
        <w:rPr>
          <w:kern w:val="16"/>
          <w:szCs w:val="16"/>
        </w:rPr>
        <w:t>Vienības prospekts 23</w:t>
      </w:r>
      <w:r w:rsidRPr="00D6321E">
        <w:rPr>
          <w:kern w:val="16"/>
          <w:szCs w:val="16"/>
        </w:rPr>
        <w:tab/>
        <w:t>tālrunis 6775 3360</w:t>
      </w:r>
    </w:p>
    <w:p w:rsidR="00BB4FA5" w:rsidRPr="00D6321E" w:rsidRDefault="00BB4FA5" w:rsidP="00BB4FA5">
      <w:pPr>
        <w:pStyle w:val="Apakvirsraksts"/>
        <w:tabs>
          <w:tab w:val="clear" w:pos="4820"/>
          <w:tab w:val="clear" w:pos="7655"/>
          <w:tab w:val="left" w:pos="7560"/>
        </w:tabs>
        <w:rPr>
          <w:kern w:val="16"/>
          <w:szCs w:val="16"/>
        </w:rPr>
      </w:pPr>
      <w:r w:rsidRPr="00D6321E">
        <w:rPr>
          <w:kern w:val="16"/>
          <w:szCs w:val="16"/>
        </w:rPr>
        <w:t>AS Swedbank</w:t>
      </w:r>
      <w:r w:rsidRPr="00D6321E">
        <w:rPr>
          <w:kern w:val="16"/>
          <w:szCs w:val="16"/>
        </w:rPr>
        <w:tab/>
      </w:r>
      <w:r>
        <w:rPr>
          <w:kern w:val="16"/>
          <w:szCs w:val="16"/>
        </w:rPr>
        <w:t xml:space="preserve">Jūrmala, </w:t>
      </w:r>
      <w:r w:rsidRPr="00D6321E">
        <w:rPr>
          <w:kern w:val="16"/>
          <w:szCs w:val="16"/>
        </w:rPr>
        <w:t>LV-2010</w:t>
      </w:r>
      <w:r w:rsidRPr="00D6321E">
        <w:rPr>
          <w:kern w:val="16"/>
          <w:szCs w:val="16"/>
        </w:rPr>
        <w:tab/>
      </w:r>
      <w:hyperlink r:id="rId9" w:history="1">
        <w:r w:rsidRPr="00D6321E">
          <w:rPr>
            <w:rStyle w:val="Hipersaite"/>
            <w:kern w:val="16"/>
            <w:szCs w:val="16"/>
          </w:rPr>
          <w:t>akademija@kra.lv</w:t>
        </w:r>
      </w:hyperlink>
    </w:p>
    <w:p w:rsidR="00BB4FA5" w:rsidRPr="00D6321E" w:rsidRDefault="00BB4FA5" w:rsidP="00BB4FA5">
      <w:pPr>
        <w:tabs>
          <w:tab w:val="left" w:pos="4860"/>
          <w:tab w:val="left" w:pos="7560"/>
        </w:tabs>
        <w:rPr>
          <w:i/>
          <w:kern w:val="16"/>
          <w:sz w:val="16"/>
          <w:szCs w:val="16"/>
        </w:rPr>
      </w:pPr>
      <w:r w:rsidRPr="00D6321E">
        <w:rPr>
          <w:i/>
          <w:kern w:val="16"/>
          <w:sz w:val="16"/>
          <w:szCs w:val="16"/>
        </w:rPr>
        <w:t>kods HABALV22, konts LV33HABA0551007993096</w:t>
      </w:r>
      <w:r w:rsidRPr="00D6321E">
        <w:rPr>
          <w:i/>
          <w:kern w:val="16"/>
          <w:sz w:val="16"/>
          <w:szCs w:val="16"/>
        </w:rPr>
        <w:tab/>
        <w:t>Latvija</w:t>
      </w:r>
      <w:r w:rsidRPr="00D6321E">
        <w:rPr>
          <w:i/>
          <w:kern w:val="16"/>
          <w:sz w:val="16"/>
          <w:szCs w:val="16"/>
        </w:rPr>
        <w:tab/>
      </w:r>
      <w:hyperlink r:id="rId10" w:history="1">
        <w:r w:rsidRPr="00877F92">
          <w:rPr>
            <w:rStyle w:val="Hipersaite"/>
            <w:i/>
            <w:kern w:val="16"/>
            <w:sz w:val="16"/>
            <w:szCs w:val="16"/>
          </w:rPr>
          <w:t>www.kra.lv</w:t>
        </w:r>
      </w:hyperlink>
      <w:r>
        <w:rPr>
          <w:i/>
          <w:kern w:val="16"/>
          <w:sz w:val="16"/>
          <w:szCs w:val="16"/>
        </w:rPr>
        <w:t xml:space="preserve"> </w:t>
      </w:r>
    </w:p>
    <w:p w:rsidR="00BB4FA5" w:rsidRPr="00D6321E" w:rsidRDefault="00BB4FA5" w:rsidP="00BB4FA5">
      <w:pPr>
        <w:jc w:val="center"/>
        <w:rPr>
          <w:b/>
          <w:kern w:val="16"/>
        </w:rPr>
      </w:pPr>
    </w:p>
    <w:p w:rsidR="00BB4FA5" w:rsidRDefault="00BB4FA5">
      <w:pPr>
        <w:pStyle w:val="Pamatteksts"/>
        <w:jc w:val="center"/>
        <w:rPr>
          <w:b/>
          <w:bCs/>
          <w:sz w:val="22"/>
          <w:szCs w:val="22"/>
        </w:rPr>
      </w:pPr>
    </w:p>
    <w:p w:rsidR="00F44848" w:rsidRDefault="00247D0C">
      <w:pPr>
        <w:pStyle w:val="Pamatteksts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Uzņemšanas noteikumi</w:t>
      </w:r>
    </w:p>
    <w:p w:rsidR="00F44848" w:rsidRDefault="00247D0C">
      <w:pPr>
        <w:pStyle w:val="Pamatteksts"/>
        <w:spacing w:after="5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Latvijas Kristīgajā akadēmijā 20</w:t>
      </w:r>
      <w:r w:rsidR="00BB3868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./20</w:t>
      </w:r>
      <w:r w:rsidR="00BB3868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. akadēmiskajam gadam</w:t>
      </w:r>
    </w:p>
    <w:p w:rsidR="00F44848" w:rsidRDefault="00247D0C" w:rsidP="00BB3868">
      <w:pPr>
        <w:pStyle w:val="Pamatteksts"/>
        <w:jc w:val="right"/>
      </w:pPr>
      <w:r>
        <w:t>Apstiprināts</w:t>
      </w:r>
    </w:p>
    <w:p w:rsidR="00F44848" w:rsidRDefault="00247D0C" w:rsidP="00BB3868">
      <w:pPr>
        <w:pStyle w:val="Pamatteksts"/>
        <w:jc w:val="right"/>
        <w:rPr>
          <w:color w:val="auto"/>
        </w:rPr>
      </w:pPr>
      <w:r>
        <w:t xml:space="preserve">LKrA Senāta sēdē </w:t>
      </w:r>
      <w:r w:rsidR="00BB4FA5">
        <w:t xml:space="preserve">Nr. ____ </w:t>
      </w:r>
      <w:r w:rsidRPr="00BB4FA5">
        <w:rPr>
          <w:color w:val="auto"/>
        </w:rPr>
        <w:t>20</w:t>
      </w:r>
      <w:r w:rsidR="00BB4FA5" w:rsidRPr="00BB4FA5">
        <w:rPr>
          <w:color w:val="auto"/>
        </w:rPr>
        <w:t>21</w:t>
      </w:r>
      <w:r w:rsidRPr="00BB4FA5">
        <w:rPr>
          <w:color w:val="auto"/>
        </w:rPr>
        <w:t xml:space="preserve">.gada </w:t>
      </w:r>
      <w:r w:rsidR="00BB4FA5" w:rsidRPr="00BB4FA5">
        <w:rPr>
          <w:color w:val="auto"/>
        </w:rPr>
        <w:t>16. jūnijā</w:t>
      </w:r>
    </w:p>
    <w:p w:rsidR="00BB4FA5" w:rsidRDefault="00BB4FA5" w:rsidP="00BB3868">
      <w:pPr>
        <w:pStyle w:val="Pamatteksts"/>
        <w:jc w:val="right"/>
      </w:pP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30"/>
        </w:tabs>
        <w:jc w:val="both"/>
      </w:pPr>
      <w:bookmarkStart w:id="0" w:name="bookmark2"/>
      <w:r>
        <w:t>Vispārīgās nostādnes</w:t>
      </w:r>
      <w:bookmarkEnd w:id="0"/>
    </w:p>
    <w:p w:rsidR="00F44848" w:rsidRDefault="00247D0C">
      <w:pPr>
        <w:pStyle w:val="Pamatteksts"/>
        <w:numPr>
          <w:ilvl w:val="1"/>
          <w:numId w:val="1"/>
        </w:numPr>
        <w:tabs>
          <w:tab w:val="left" w:pos="526"/>
        </w:tabs>
        <w:jc w:val="both"/>
      </w:pPr>
      <w:r>
        <w:t>Nolikums</w:t>
      </w:r>
      <w:r>
        <w:t xml:space="preserve"> nosaka kārtību, kādā notiek reflektantu uzņemšana studijām Latvijas Kristīgās akadēmijas (turpmāk tekstā LKrA) pilna laika un nepilna laika pamatstudiju un pilna laika augstākā līmeņa (maģistrantūras) studiju programmās.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26"/>
        </w:tabs>
        <w:jc w:val="both"/>
      </w:pPr>
      <w:r>
        <w:t>Uz studijām LKrA var pretendēt Lat</w:t>
      </w:r>
      <w:r>
        <w:t>vijas Republikas pilsoņi vai personas, kurām ir Latvijas Republikas izdota nepilsoņa pase, kā arī personas, kurām ir izsniegtas pastāvīgās uzturēšanās atļaujas.</w:t>
      </w: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49"/>
        </w:tabs>
        <w:jc w:val="both"/>
      </w:pPr>
      <w:bookmarkStart w:id="1" w:name="bookmark4"/>
      <w:r>
        <w:t>LKrA piedāvātās studiju formas</w:t>
      </w:r>
      <w:bookmarkEnd w:id="1"/>
    </w:p>
    <w:p w:rsidR="00F44848" w:rsidRDefault="00247D0C">
      <w:pPr>
        <w:pStyle w:val="Pamatteksts"/>
        <w:numPr>
          <w:ilvl w:val="1"/>
          <w:numId w:val="1"/>
        </w:numPr>
        <w:tabs>
          <w:tab w:val="left" w:pos="526"/>
        </w:tabs>
        <w:jc w:val="both"/>
      </w:pPr>
      <w:r>
        <w:t>LKrA piedāvā sekojošas pamatstudiju formas: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89"/>
        </w:tabs>
        <w:ind w:firstLine="580"/>
        <w:jc w:val="both"/>
      </w:pPr>
      <w:r>
        <w:t>Pilna laika studijas</w:t>
      </w:r>
      <w:r>
        <w:t xml:space="preserve"> dienas nodaļā;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94"/>
        </w:tabs>
        <w:ind w:firstLine="580"/>
        <w:jc w:val="both"/>
      </w:pPr>
      <w:r>
        <w:t>Nepilna laika studijas vakara nodaļā;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84"/>
        </w:tabs>
        <w:ind w:firstLine="580"/>
        <w:jc w:val="both"/>
      </w:pPr>
      <w:r>
        <w:t>Nepilna laika studijas neklātienes nodaļā;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31"/>
        </w:tabs>
        <w:jc w:val="both"/>
      </w:pPr>
      <w:r>
        <w:t>Pilna laika augstākā līmeņa studijas.</w:t>
      </w: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2" w:name="bookmark6"/>
      <w:r>
        <w:t>Reflektantu uzņemšana pilna laika pamatstudiju programmās</w:t>
      </w:r>
      <w:bookmarkEnd w:id="2"/>
    </w:p>
    <w:p w:rsidR="00BB4FA5" w:rsidRDefault="00247D0C" w:rsidP="00D73F86">
      <w:pPr>
        <w:pStyle w:val="Pamatteksts"/>
        <w:numPr>
          <w:ilvl w:val="1"/>
          <w:numId w:val="1"/>
        </w:numPr>
        <w:tabs>
          <w:tab w:val="left" w:pos="526"/>
        </w:tabs>
        <w:jc w:val="both"/>
      </w:pPr>
      <w:r>
        <w:t>Reflektantu uzņemšana pilna laika pamatstudiju programmās notie</w:t>
      </w:r>
      <w:r>
        <w:t>k uz vidējās vispārējās vai vidējās</w:t>
      </w:r>
      <w:r w:rsidR="00BB4FA5">
        <w:t xml:space="preserve"> profesionālās izglītības bāzes. 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36"/>
        </w:tabs>
        <w:jc w:val="both"/>
      </w:pPr>
      <w:r>
        <w:t xml:space="preserve">Reflektantu uzņemšana pilna laika pamatstudiju programmās notiek, pamatojoties uz centralizēto eksāmenu rezultātiem latviešu valodā un modernajā svešvalodā. LKrA uzņem personu, kura noteiktajos centralizētajos eksāmenos ir ieguvusi vērtējumu - </w:t>
      </w:r>
      <w:r w:rsidRPr="00B07267">
        <w:rPr>
          <w:lang w:eastAsia="ru-RU" w:bidi="ru-RU"/>
        </w:rPr>
        <w:t xml:space="preserve">А, В, </w:t>
      </w:r>
      <w:r>
        <w:t xml:space="preserve">C, D, </w:t>
      </w:r>
      <w:r>
        <w:t>vai E līmenis. Reflektanti, kuri vispārējo vidējo izglītību ieguvuši līdz 2003.</w:t>
      </w:r>
      <w:r w:rsidRPr="00B07267">
        <w:rPr>
          <w:lang w:eastAsia="ru-RU" w:bidi="ru-RU"/>
        </w:rPr>
        <w:t>/2004.</w:t>
      </w:r>
      <w:r>
        <w:t>mācību gadam, tiek uzņemti bez centralizēto eksāmenu rezultātiem.</w:t>
      </w: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54"/>
        </w:tabs>
        <w:jc w:val="both"/>
      </w:pPr>
      <w:bookmarkStart w:id="3" w:name="bookmark8"/>
      <w:r>
        <w:t>Reflektantu uzņemšana nepilna laika pamatstudiju programmās</w:t>
      </w:r>
      <w:bookmarkEnd w:id="3"/>
    </w:p>
    <w:p w:rsidR="00F44848" w:rsidRDefault="00247D0C">
      <w:pPr>
        <w:pStyle w:val="Pamatteksts"/>
        <w:numPr>
          <w:ilvl w:val="1"/>
          <w:numId w:val="1"/>
        </w:numPr>
        <w:tabs>
          <w:tab w:val="left" w:pos="531"/>
        </w:tabs>
        <w:jc w:val="both"/>
      </w:pPr>
      <w:r>
        <w:t>Reflektantu uzņemšana nepilna laika pamatstud</w:t>
      </w:r>
      <w:r>
        <w:t>iju programmās notiek uz vidējās vispārējās vai vidējās profesionālās izglītības bāzes.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31"/>
        </w:tabs>
        <w:jc w:val="both"/>
      </w:pPr>
      <w:r>
        <w:t>Pretendentiem uz nepilna laika studijām LKrA visās pamatstudiju programmās jāuzrāda vidusskolas atestāts, kurā vērtējums latviešu valodā un modernajā svešvalodā nav zem</w:t>
      </w:r>
      <w:r>
        <w:t>āks par 4 - gandrīz viduvēji (pēc 10 ballu vērtēšanas sistēmas) jeb 3 - viduvēji (pēc 5 ballu vērtēšanas sistēmas).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31"/>
        </w:tabs>
        <w:spacing w:after="180"/>
        <w:jc w:val="both"/>
      </w:pPr>
      <w:r>
        <w:t>Reflektanti tiek uzņemti nepilna laika pamatstudiju programmā ar Uzņemšanas komisijas lēmumu un rektora rīkojumu pēc intervijas ar Uzņemšana</w:t>
      </w:r>
      <w:r>
        <w:t>s komisiju.</w:t>
      </w: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4" w:name="bookmark10"/>
      <w:r>
        <w:t>Reflektantu uzņemšana pilna laika augstākā līmeņa studiju programmās</w:t>
      </w:r>
      <w:bookmarkEnd w:id="4"/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Reflektantu uzņemšana augstākā līmeņa studiju programmās notiek uz augstākās izglītības bāzes.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Reflektanti tiek uzņemti pilna laika augstākā līmeņa studiju programmā ar Uzņemš</w:t>
      </w:r>
      <w:r>
        <w:t>anas komisijas lēmumu un rektora rīkojumu.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 xml:space="preserve">Konkursā par studijām LKrA piedalās reflektanti, kuru reģistrācija notikusi ne vēlāk kā </w:t>
      </w:r>
      <w:r>
        <w:lastRenderedPageBreak/>
        <w:t xml:space="preserve">noteiktajā reflektantu reģistrācijas termiņā (skat. </w:t>
      </w:r>
      <w:r w:rsidRPr="00B07267">
        <w:rPr>
          <w:lang w:eastAsia="ru-RU" w:bidi="ru-RU"/>
        </w:rPr>
        <w:t xml:space="preserve">6.1.), </w:t>
      </w:r>
      <w:r>
        <w:t>un ja LKrA Studiju daļā iesniegti visi šajā nolikumā prasītie doku</w:t>
      </w:r>
      <w:r>
        <w:t>menti.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Apelācijas kārtību regulē LKrA Senāta noteikta kārtība un par to atbildīgā persona ir LKrA Senāta priekšsēdētājs.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spacing w:after="520"/>
        <w:jc w:val="both"/>
      </w:pPr>
      <w:r>
        <w:t>Augstskolas un studējošā savstarpējās tiesiskās attiecības pēc studējošā uzņemšanas LKrA studiju programmā regulē Studiju līgums.</w:t>
      </w:r>
    </w:p>
    <w:p w:rsidR="00F44848" w:rsidRDefault="00247D0C">
      <w:pPr>
        <w:pStyle w:val="Heading2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5" w:name="bookmark12"/>
      <w:r>
        <w:t>Refle</w:t>
      </w:r>
      <w:r>
        <w:t>ktantu reģistrācija un uzņemšana</w:t>
      </w:r>
      <w:bookmarkEnd w:id="5"/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Reflektantu reģistrācija un uzņemšana LKrA studiju programmās notiek saskaņā ar Augstskolu likuma 46.panta 6. daļu.</w:t>
      </w:r>
    </w:p>
    <w:p w:rsidR="00BB4FA5" w:rsidRDefault="00BB4FA5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Reflektants iesniedz dokumentus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Reģistrējoties studijām pilna laika pamatstudiju programmās, reflektants iesniedz: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58"/>
        </w:tabs>
        <w:ind w:firstLine="500"/>
        <w:jc w:val="both"/>
      </w:pPr>
      <w:r>
        <w:t>Pieteikumu;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53"/>
        </w:tabs>
        <w:ind w:firstLine="500"/>
        <w:jc w:val="both"/>
      </w:pPr>
      <w:r>
        <w:t xml:space="preserve">vidējo </w:t>
      </w:r>
      <w:r>
        <w:t>izglītību apliecinošu dokumenta kopiju (uzrādot dokumenta oriģinālu);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58"/>
        </w:tabs>
        <w:ind w:left="500" w:firstLine="20"/>
        <w:jc w:val="both"/>
      </w:pPr>
      <w:r>
        <w:t>iepriekš iegūto augstāko izglītību apliecinoša dokumenta kopiju (uzrādot dokumenta oriģinālu), ja tāda iegūta;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58"/>
        </w:tabs>
        <w:ind w:left="500" w:firstLine="20"/>
        <w:jc w:val="both"/>
      </w:pPr>
      <w:r>
        <w:t xml:space="preserve">LKrA noteikto centralizēto eksāmenu sertifikātu kopijas (uzrādot dokumentu </w:t>
      </w:r>
      <w:r>
        <w:t>oriģinālus);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82"/>
        </w:tabs>
        <w:ind w:left="500" w:firstLine="20"/>
        <w:jc w:val="both"/>
      </w:pPr>
      <w:r>
        <w:t>personu apliecinoša dokumenta (pases) kopiju (uzrādot dokumenta oriģinālu);</w:t>
      </w:r>
    </w:p>
    <w:p w:rsidR="00F44848" w:rsidRDefault="00247D0C">
      <w:pPr>
        <w:pStyle w:val="Pamatteksts"/>
        <w:numPr>
          <w:ilvl w:val="0"/>
          <w:numId w:val="2"/>
        </w:numPr>
        <w:tabs>
          <w:tab w:val="left" w:pos="762"/>
        </w:tabs>
        <w:ind w:firstLine="500"/>
        <w:jc w:val="both"/>
      </w:pPr>
      <w:r>
        <w:t>4 fotogrāfijas.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Reģistrējoties studijām nepilna laika pamatstudiju programmās, reflektants iesniedz:</w:t>
      </w:r>
    </w:p>
    <w:p w:rsidR="00F44848" w:rsidRDefault="00247D0C">
      <w:pPr>
        <w:pStyle w:val="Pamatteksts"/>
        <w:numPr>
          <w:ilvl w:val="0"/>
          <w:numId w:val="3"/>
        </w:numPr>
        <w:tabs>
          <w:tab w:val="left" w:pos="758"/>
        </w:tabs>
        <w:ind w:firstLine="500"/>
        <w:jc w:val="both"/>
      </w:pPr>
      <w:r>
        <w:t>pieteikumu;</w:t>
      </w:r>
    </w:p>
    <w:p w:rsidR="00F44848" w:rsidRDefault="00247D0C">
      <w:pPr>
        <w:pStyle w:val="Pamatteksts"/>
        <w:numPr>
          <w:ilvl w:val="0"/>
          <w:numId w:val="3"/>
        </w:numPr>
        <w:tabs>
          <w:tab w:val="left" w:pos="762"/>
        </w:tabs>
        <w:ind w:firstLine="500"/>
        <w:jc w:val="both"/>
      </w:pPr>
      <w:r>
        <w:t>vidējo izglītību apliecinošu dokumenta kopiju (uzrādot</w:t>
      </w:r>
      <w:r>
        <w:t xml:space="preserve"> dokumenta oriģinālu);</w:t>
      </w:r>
    </w:p>
    <w:p w:rsidR="00F44848" w:rsidRDefault="00247D0C">
      <w:pPr>
        <w:pStyle w:val="Pamatteksts"/>
        <w:numPr>
          <w:ilvl w:val="0"/>
          <w:numId w:val="3"/>
        </w:numPr>
        <w:tabs>
          <w:tab w:val="left" w:pos="758"/>
        </w:tabs>
        <w:ind w:left="500" w:firstLine="20"/>
        <w:jc w:val="both"/>
      </w:pPr>
      <w:r>
        <w:t>iepriekš iegūto augstāko izglītību apliecinoša dokumenta kopiju (uzrādot dokumenta oriģinālu), ja tāda iegūta;</w:t>
      </w:r>
    </w:p>
    <w:p w:rsidR="00F44848" w:rsidRDefault="00247D0C">
      <w:pPr>
        <w:pStyle w:val="Pamatteksts"/>
        <w:numPr>
          <w:ilvl w:val="0"/>
          <w:numId w:val="3"/>
        </w:numPr>
        <w:tabs>
          <w:tab w:val="left" w:pos="782"/>
        </w:tabs>
        <w:ind w:left="500" w:firstLine="20"/>
        <w:jc w:val="both"/>
      </w:pPr>
      <w:r>
        <w:t>personu apliecinoša dokumenta (pases) kopiju (uzrādot dokumenta oriģinālu);</w:t>
      </w:r>
    </w:p>
    <w:p w:rsidR="00F44848" w:rsidRDefault="00247D0C">
      <w:pPr>
        <w:pStyle w:val="Pamatteksts"/>
        <w:numPr>
          <w:ilvl w:val="0"/>
          <w:numId w:val="3"/>
        </w:numPr>
        <w:tabs>
          <w:tab w:val="left" w:pos="782"/>
        </w:tabs>
        <w:ind w:left="500" w:firstLine="20"/>
        <w:jc w:val="both"/>
      </w:pPr>
      <w:r>
        <w:t>4 fotogrāfijas.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 xml:space="preserve">Reģistrējoties studijām </w:t>
      </w:r>
      <w:r>
        <w:t>augstākā līmeņa studiju programmās, reflektants iesniedz:</w:t>
      </w:r>
    </w:p>
    <w:p w:rsidR="00F44848" w:rsidRDefault="00247D0C">
      <w:pPr>
        <w:pStyle w:val="Pamatteksts"/>
        <w:numPr>
          <w:ilvl w:val="0"/>
          <w:numId w:val="4"/>
        </w:numPr>
        <w:tabs>
          <w:tab w:val="left" w:pos="762"/>
        </w:tabs>
        <w:ind w:firstLine="500"/>
        <w:jc w:val="both"/>
      </w:pPr>
      <w:r>
        <w:t>pieteikumu</w:t>
      </w:r>
    </w:p>
    <w:p w:rsidR="00F44848" w:rsidRDefault="00247D0C">
      <w:pPr>
        <w:pStyle w:val="Pamatteksts"/>
        <w:numPr>
          <w:ilvl w:val="0"/>
          <w:numId w:val="4"/>
        </w:numPr>
        <w:tabs>
          <w:tab w:val="left" w:pos="762"/>
        </w:tabs>
        <w:ind w:firstLine="500"/>
        <w:jc w:val="both"/>
      </w:pPr>
      <w:r>
        <w:t>augstāko izglītību apliecinoša dokumenta kopiju (uzrādot dokumenta oriģinālu)</w:t>
      </w:r>
    </w:p>
    <w:p w:rsidR="00F44848" w:rsidRDefault="00247D0C">
      <w:pPr>
        <w:pStyle w:val="Pamatteksts"/>
        <w:numPr>
          <w:ilvl w:val="0"/>
          <w:numId w:val="4"/>
        </w:numPr>
        <w:tabs>
          <w:tab w:val="left" w:pos="762"/>
        </w:tabs>
        <w:ind w:firstLine="500"/>
      </w:pPr>
      <w:r>
        <w:t>personu apliecinoša dokumenta (pases) kopiju (uzrādot dokumenta oriģinālu)</w:t>
      </w:r>
    </w:p>
    <w:p w:rsidR="00F44848" w:rsidRDefault="00247D0C">
      <w:pPr>
        <w:pStyle w:val="Pamatteksts"/>
        <w:numPr>
          <w:ilvl w:val="0"/>
          <w:numId w:val="4"/>
        </w:numPr>
        <w:tabs>
          <w:tab w:val="left" w:pos="762"/>
        </w:tabs>
        <w:ind w:firstLine="500"/>
        <w:jc w:val="both"/>
      </w:pPr>
      <w:r>
        <w:t>4 fotogrāfijas.</w:t>
      </w:r>
    </w:p>
    <w:p w:rsidR="00BB4FA5" w:rsidRPr="00BB4FA5" w:rsidRDefault="00BB4FA5">
      <w:pPr>
        <w:pStyle w:val="Pamatteksts"/>
        <w:numPr>
          <w:ilvl w:val="1"/>
          <w:numId w:val="1"/>
        </w:numPr>
        <w:tabs>
          <w:tab w:val="left" w:pos="572"/>
        </w:tabs>
        <w:jc w:val="both"/>
        <w:rPr>
          <w:color w:val="auto"/>
        </w:rPr>
      </w:pPr>
      <w:r w:rsidRPr="00BB4FA5">
        <w:rPr>
          <w:color w:val="auto"/>
        </w:rPr>
        <w:t xml:space="preserve">Dokumentus var iesniegt: 1) ierodoties personīgi LKrA, Vienības prospekts 23, Jūrmalā; 2) nosūtot elektroniski vai pa e-pastu </w:t>
      </w:r>
      <w:hyperlink r:id="rId11" w:history="1">
        <w:r w:rsidRPr="00BB4FA5">
          <w:rPr>
            <w:rStyle w:val="Hipersaite"/>
            <w:color w:val="auto"/>
          </w:rPr>
          <w:t>akademija@kra.lv</w:t>
        </w:r>
      </w:hyperlink>
      <w:r w:rsidRPr="00BB4FA5">
        <w:rPr>
          <w:color w:val="auto"/>
        </w:rPr>
        <w:t>; 3) nosūtot pa pastu; 4) iesniedzot ar reflektanta pilnvarotas personas starpniecību, uzrādot pilnvaru. Sūtot dokumentus elektroniski vai pa pastu, oriģinālus jāuzrāda, ierodoties augstskolā.</w:t>
      </w:r>
    </w:p>
    <w:p w:rsidR="00BB4FA5" w:rsidRPr="00BB4FA5" w:rsidRDefault="00BB4FA5">
      <w:pPr>
        <w:pStyle w:val="Pamatteksts"/>
        <w:numPr>
          <w:ilvl w:val="1"/>
          <w:numId w:val="1"/>
        </w:numPr>
        <w:tabs>
          <w:tab w:val="left" w:pos="572"/>
        </w:tabs>
        <w:jc w:val="both"/>
        <w:rPr>
          <w:color w:val="auto"/>
        </w:rPr>
      </w:pPr>
      <w:r w:rsidRPr="00BB4FA5">
        <w:rPr>
          <w:color w:val="auto"/>
        </w:rPr>
        <w:t>Par pieteikuma izskatīšanu, reģistrēšanu, pārrunām un studiju līguma sagatavošanu, ir noteikta dokumentu reģistrācijas maksa EUR 50,00 apmērā. No reģistrācijas maksas ir atbrīvoti: esošā akadēmiskā studiju gada bakalaura studiju programmu absolventi, kuri izsaka velēšanos tik uzņemti maģistra studiju programmās, un bāreņi.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Reflektantu uzņemš</w:t>
      </w:r>
      <w:r>
        <w:t>anu veic LKrA Senāta apstiprināta Uzņemšanas komisija.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09"/>
        </w:tabs>
        <w:ind w:left="500" w:firstLine="20"/>
        <w:jc w:val="both"/>
      </w:pPr>
      <w:r>
        <w:t xml:space="preserve">uzņemšanas konkursa vērtēšanas kritēriji ir centralizēto eksāmenu rezultāti (A, </w:t>
      </w:r>
      <w:r w:rsidRPr="00B07267">
        <w:rPr>
          <w:lang w:eastAsia="ru-RU" w:bidi="ru-RU"/>
        </w:rPr>
        <w:t xml:space="preserve">В, </w:t>
      </w:r>
      <w:r>
        <w:t xml:space="preserve">C, D līmenis) latviešu valodā un modernajā svešvalodā. Personām, kuras ir ieguvušas vidējo izglītību līdz 2004.gadam, </w:t>
      </w:r>
      <w:r>
        <w:t>konkursa vērtēšanas kritēriji ir vidējās izglītības atestāta atzīmju vērtējums latviešu valodā un modernajā svešvalodā, kas nav zemāks par 4 - gandrīz viduvēji (pēc 10 ballu vērtēšanas sistēmas) jeb 3 - viduvēji (pēc 5 ballu vērtēšanas sistēmas).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04"/>
        </w:tabs>
        <w:ind w:firstLine="500"/>
        <w:jc w:val="both"/>
      </w:pPr>
      <w:r>
        <w:t xml:space="preserve">konkursa </w:t>
      </w:r>
      <w:r>
        <w:t>noslēguma termiņš ir 31 .augusts.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09"/>
        </w:tabs>
        <w:ind w:left="500" w:firstLine="20"/>
        <w:jc w:val="both"/>
      </w:pPr>
      <w:r>
        <w:t>konkursa rezultātus nosaka un apstiprina LKrA Uzņemšanas komisija. Tos izziņo ne vēlāk kā triju dienu laikā no konkursa noslēguma dienas.</w:t>
      </w:r>
    </w:p>
    <w:p w:rsidR="00F44848" w:rsidRDefault="00247D0C">
      <w:pPr>
        <w:pStyle w:val="Pamatteksts"/>
        <w:numPr>
          <w:ilvl w:val="2"/>
          <w:numId w:val="1"/>
        </w:numPr>
        <w:tabs>
          <w:tab w:val="left" w:pos="1209"/>
        </w:tabs>
        <w:ind w:left="500" w:firstLine="20"/>
        <w:jc w:val="both"/>
      </w:pPr>
      <w:r>
        <w:t>uzņemšanas komisijas lēmumu par konkursa rezultātiem var apstrīdēt, iesniedzot iesni</w:t>
      </w:r>
      <w:r>
        <w:t>egumu augstskolas rektoram. Augstskolas rektora pieņemto lēmumu persona var pārsūdzēt tiesā Administratīvā procesa likuma noteiktā kārtībā.</w:t>
      </w:r>
    </w:p>
    <w:p w:rsidR="00F44848" w:rsidRDefault="00247D0C" w:rsidP="00B07267">
      <w:pPr>
        <w:pStyle w:val="Pamatteksts"/>
        <w:numPr>
          <w:ilvl w:val="1"/>
          <w:numId w:val="1"/>
        </w:numPr>
        <w:tabs>
          <w:tab w:val="left" w:pos="572"/>
        </w:tabs>
        <w:jc w:val="both"/>
      </w:pPr>
      <w:r>
        <w:t>Reflektants tiek imatrikulēts LKrA studiju programmā ar rektora rīkojumu.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99"/>
        </w:tabs>
      </w:pPr>
      <w:r>
        <w:t>LKrA un studējošais noslēdz vienošanos pa</w:t>
      </w:r>
      <w:r>
        <w:t>r studijām (Studiju līgumu).</w:t>
      </w:r>
    </w:p>
    <w:p w:rsidR="00F44848" w:rsidRDefault="00247D0C">
      <w:pPr>
        <w:pStyle w:val="Pamatteksts"/>
        <w:numPr>
          <w:ilvl w:val="1"/>
          <w:numId w:val="1"/>
        </w:numPr>
        <w:tabs>
          <w:tab w:val="left" w:pos="599"/>
        </w:tabs>
      </w:pPr>
      <w:r>
        <w:t>Katram studējošam LKrA iekārto studējošā personas lietu, kas satur sekojošus dokumentus:</w:t>
      </w:r>
    </w:p>
    <w:p w:rsidR="00F44848" w:rsidRDefault="00247D0C">
      <w:pPr>
        <w:pStyle w:val="Pamatteksts"/>
        <w:numPr>
          <w:ilvl w:val="0"/>
          <w:numId w:val="5"/>
        </w:numPr>
        <w:tabs>
          <w:tab w:val="left" w:pos="762"/>
        </w:tabs>
        <w:spacing w:line="233" w:lineRule="auto"/>
        <w:ind w:firstLine="500"/>
      </w:pPr>
      <w:r>
        <w:t>reflektanta pieteikumu;</w:t>
      </w:r>
    </w:p>
    <w:p w:rsidR="00F44848" w:rsidRDefault="00247D0C">
      <w:pPr>
        <w:pStyle w:val="Pamatteksts"/>
        <w:numPr>
          <w:ilvl w:val="0"/>
          <w:numId w:val="5"/>
        </w:numPr>
        <w:tabs>
          <w:tab w:val="left" w:pos="762"/>
        </w:tabs>
        <w:ind w:firstLine="500"/>
      </w:pPr>
      <w:r>
        <w:t>vidējo vai augstāko izglītību apliecinoša dokumenta apstiprinātu kopiju;</w:t>
      </w:r>
    </w:p>
    <w:p w:rsidR="00F44848" w:rsidRDefault="00247D0C">
      <w:pPr>
        <w:pStyle w:val="Pamatteksts"/>
        <w:numPr>
          <w:ilvl w:val="0"/>
          <w:numId w:val="5"/>
        </w:numPr>
        <w:tabs>
          <w:tab w:val="left" w:pos="762"/>
        </w:tabs>
        <w:spacing w:line="233" w:lineRule="auto"/>
        <w:ind w:firstLine="500"/>
      </w:pPr>
      <w:r>
        <w:t>pases kopiju;</w:t>
      </w:r>
    </w:p>
    <w:p w:rsidR="00F44848" w:rsidRDefault="00247D0C">
      <w:pPr>
        <w:pStyle w:val="Pamatteksts"/>
        <w:numPr>
          <w:ilvl w:val="0"/>
          <w:numId w:val="5"/>
        </w:numPr>
        <w:tabs>
          <w:tab w:val="left" w:pos="758"/>
        </w:tabs>
        <w:ind w:firstLine="500"/>
      </w:pPr>
      <w:r>
        <w:t xml:space="preserve">centralizēto eksāmenu </w:t>
      </w:r>
      <w:r>
        <w:t>sertifikātu apstiprinātas kopijas;</w:t>
      </w:r>
    </w:p>
    <w:p w:rsidR="00BB4FA5" w:rsidRDefault="00247D0C" w:rsidP="00BB4FA5">
      <w:pPr>
        <w:pStyle w:val="Pamatteksts"/>
        <w:numPr>
          <w:ilvl w:val="0"/>
          <w:numId w:val="5"/>
        </w:numPr>
        <w:tabs>
          <w:tab w:val="left" w:pos="758"/>
        </w:tabs>
        <w:spacing w:line="233" w:lineRule="auto"/>
        <w:ind w:firstLine="500"/>
      </w:pPr>
      <w:r>
        <w:t>studiju līgumu.</w:t>
      </w:r>
    </w:p>
    <w:p w:rsidR="00BB4FA5" w:rsidRPr="00BB4FA5" w:rsidRDefault="00BB4FA5" w:rsidP="00BB4FA5">
      <w:pPr>
        <w:pStyle w:val="Pamatteksts"/>
        <w:numPr>
          <w:ilvl w:val="1"/>
          <w:numId w:val="1"/>
        </w:numPr>
        <w:tabs>
          <w:tab w:val="left" w:pos="758"/>
        </w:tabs>
        <w:spacing w:line="233" w:lineRule="auto"/>
        <w:rPr>
          <w:color w:val="auto"/>
        </w:rPr>
      </w:pPr>
      <w:r w:rsidRPr="00BB4FA5">
        <w:rPr>
          <w:color w:val="auto"/>
        </w:rPr>
        <w:t>Par akadēmiskā gada un nodarbību sākumu LKrA informē studentus mājaslapā un nosūtot e-pastu.</w:t>
      </w:r>
    </w:p>
    <w:p w:rsidR="00BB4FA5" w:rsidRDefault="00BB4FA5" w:rsidP="00BB4FA5">
      <w:pPr>
        <w:pStyle w:val="Pamatteksts"/>
        <w:numPr>
          <w:ilvl w:val="0"/>
          <w:numId w:val="1"/>
        </w:numPr>
        <w:tabs>
          <w:tab w:val="left" w:pos="758"/>
        </w:tabs>
        <w:spacing w:line="233" w:lineRule="auto"/>
        <w:ind w:firstLine="500"/>
        <w:sectPr w:rsidR="00BB4FA5">
          <w:type w:val="continuous"/>
          <w:pgSz w:w="11900" w:h="16840"/>
          <w:pgMar w:top="938" w:right="1081" w:bottom="1317" w:left="1161" w:header="0" w:footer="3" w:gutter="0"/>
          <w:cols w:space="720"/>
          <w:noEndnote/>
          <w:docGrid w:linePitch="360"/>
        </w:sectPr>
      </w:pPr>
    </w:p>
    <w:p w:rsidR="00F44848" w:rsidRDefault="00F44848">
      <w:pPr>
        <w:spacing w:line="179" w:lineRule="exact"/>
        <w:rPr>
          <w:sz w:val="14"/>
          <w:szCs w:val="14"/>
        </w:rPr>
      </w:pPr>
    </w:p>
    <w:p w:rsidR="00F44848" w:rsidRDefault="00F44848">
      <w:pPr>
        <w:spacing w:line="1" w:lineRule="exact"/>
        <w:sectPr w:rsidR="00F44848">
          <w:type w:val="continuous"/>
          <w:pgSz w:w="11900" w:h="16840"/>
          <w:pgMar w:top="963" w:right="0" w:bottom="963" w:left="0" w:header="0" w:footer="3" w:gutter="0"/>
          <w:cols w:space="720"/>
          <w:noEndnote/>
          <w:docGrid w:linePitch="360"/>
        </w:sectPr>
      </w:pPr>
    </w:p>
    <w:p w:rsidR="00F44848" w:rsidRDefault="00247D0C">
      <w:pPr>
        <w:pStyle w:val="Pamatteksts"/>
        <w:framePr w:w="2059" w:h="307" w:wrap="none" w:vAnchor="text" w:hAnchor="page" w:x="1304" w:y="764"/>
      </w:pPr>
      <w:r>
        <w:t>Senātā priekšsēdētājs</w:t>
      </w:r>
    </w:p>
    <w:p w:rsidR="00F44848" w:rsidRDefault="00247D0C">
      <w:pPr>
        <w:pStyle w:val="Pamatteksts"/>
        <w:framePr w:w="1286" w:h="298" w:wrap="none" w:vAnchor="text" w:hAnchor="page" w:x="9493" w:y="783"/>
      </w:pPr>
      <w:r>
        <w:t>E. Butkevičs</w:t>
      </w:r>
    </w:p>
    <w:p w:rsidR="00F44848" w:rsidRDefault="00247D0C">
      <w:pPr>
        <w:pStyle w:val="Pamatteksts"/>
        <w:framePr w:w="792" w:h="298" w:wrap="none" w:vAnchor="text" w:hAnchor="page" w:x="1294" w:y="2588"/>
      </w:pPr>
      <w:r>
        <w:t>Rektore</w:t>
      </w:r>
    </w:p>
    <w:p w:rsidR="00F44848" w:rsidRDefault="00247D0C">
      <w:pPr>
        <w:pStyle w:val="Pamatteksts"/>
        <w:framePr w:w="1128" w:h="298" w:wrap="none" w:vAnchor="text" w:hAnchor="page" w:x="9646" w:y="2607"/>
      </w:pPr>
      <w:r>
        <w:t>S.G</w:t>
      </w:r>
      <w:r w:rsidR="00BB4FA5">
        <w:t>ū</w:t>
      </w:r>
      <w:bookmarkStart w:id="6" w:name="_GoBack"/>
      <w:bookmarkEnd w:id="6"/>
      <w:r>
        <w:t>tmane</w:t>
      </w: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line="360" w:lineRule="exact"/>
      </w:pPr>
    </w:p>
    <w:p w:rsidR="00F44848" w:rsidRDefault="00F44848">
      <w:pPr>
        <w:spacing w:after="681" w:line="1" w:lineRule="exact"/>
      </w:pPr>
    </w:p>
    <w:p w:rsidR="00F44848" w:rsidRDefault="00F44848">
      <w:pPr>
        <w:spacing w:line="1" w:lineRule="exact"/>
      </w:pPr>
    </w:p>
    <w:sectPr w:rsidR="00F44848">
      <w:type w:val="continuous"/>
      <w:pgSz w:w="11900" w:h="16840"/>
      <w:pgMar w:top="963" w:right="1206" w:bottom="963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C" w:rsidRDefault="00247D0C">
      <w:r>
        <w:separator/>
      </w:r>
    </w:p>
  </w:endnote>
  <w:endnote w:type="continuationSeparator" w:id="0">
    <w:p w:rsidR="00247D0C" w:rsidRDefault="002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thos Pro Regular">
    <w:panose1 w:val="04020505030E02020A04"/>
    <w:charset w:val="00"/>
    <w:family w:val="decorative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C" w:rsidRDefault="00247D0C"/>
  </w:footnote>
  <w:footnote w:type="continuationSeparator" w:id="0">
    <w:p w:rsidR="00247D0C" w:rsidRDefault="00247D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688"/>
    <w:multiLevelType w:val="multilevel"/>
    <w:tmpl w:val="1AB60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94AF6"/>
    <w:multiLevelType w:val="multilevel"/>
    <w:tmpl w:val="06A64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E32AD"/>
    <w:multiLevelType w:val="multilevel"/>
    <w:tmpl w:val="9E34C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156CE4"/>
    <w:multiLevelType w:val="multilevel"/>
    <w:tmpl w:val="50C86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EB2ED7"/>
    <w:multiLevelType w:val="multilevel"/>
    <w:tmpl w:val="41A00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8"/>
    <w:rsid w:val="00247D0C"/>
    <w:rsid w:val="00B07267"/>
    <w:rsid w:val="00BB3868"/>
    <w:rsid w:val="00BB4FA5"/>
    <w:rsid w:val="00F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313B"/>
  <w15:docId w15:val="{DF598259-3B0B-4F76-AB43-647E6DC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">
    <w:name w:val="Body text (2)_"/>
    <w:basedOn w:val="Noklusjumarindkopasfonts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amattekstsRakstz">
    <w:name w:val="Pamatteksts Rakstz."/>
    <w:basedOn w:val="Noklusjumarindkopasfonts"/>
    <w:link w:val="Pamatteks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Noklusjumarindkopasfonts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Parasts"/>
    <w:link w:val="Bodytext2"/>
    <w:rPr>
      <w:rFonts w:ascii="Arial" w:eastAsia="Arial" w:hAnsi="Arial" w:cs="Arial"/>
      <w:i/>
      <w:iCs/>
      <w:sz w:val="14"/>
      <w:szCs w:val="14"/>
    </w:rPr>
  </w:style>
  <w:style w:type="paragraph" w:customStyle="1" w:styleId="Bodytext30">
    <w:name w:val="Body text (3)"/>
    <w:basedOn w:val="Parasts"/>
    <w:link w:val="Bodytext3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Parasts"/>
    <w:link w:val="Heading1"/>
    <w:pPr>
      <w:spacing w:after="18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matteksts">
    <w:name w:val="Body Text"/>
    <w:basedOn w:val="Parasts"/>
    <w:link w:val="PamattekstsRakstz"/>
    <w:qFormat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Parasts"/>
    <w:link w:val="Heading2"/>
    <w:pPr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BB3868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qFormat/>
    <w:rsid w:val="00BB4FA5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NosaukumsRakstz">
    <w:name w:val="Nosaukums Rakstz."/>
    <w:basedOn w:val="Noklusjumarindkopasfonts"/>
    <w:link w:val="Nosaukums"/>
    <w:rsid w:val="00BB4FA5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pakvirsraksts">
    <w:name w:val="Subtitle"/>
    <w:basedOn w:val="Parasts"/>
    <w:link w:val="ApakvirsrakstsRakstz"/>
    <w:qFormat/>
    <w:rsid w:val="00BB4FA5"/>
    <w:pPr>
      <w:widowControl/>
      <w:tabs>
        <w:tab w:val="left" w:pos="4820"/>
        <w:tab w:val="left" w:pos="4860"/>
        <w:tab w:val="left" w:pos="7655"/>
      </w:tabs>
    </w:pPr>
    <w:rPr>
      <w:rFonts w:ascii="Times New Roman" w:eastAsia="Times New Roman" w:hAnsi="Times New Roman" w:cs="Times New Roman"/>
      <w:i/>
      <w:iCs/>
      <w:color w:val="auto"/>
      <w:kern w:val="20"/>
      <w:sz w:val="16"/>
      <w:lang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BB4FA5"/>
    <w:rPr>
      <w:rFonts w:ascii="Times New Roman" w:eastAsia="Times New Roman" w:hAnsi="Times New Roman" w:cs="Times New Roman"/>
      <w:i/>
      <w:iCs/>
      <w:kern w:val="20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kademija@kr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demija@kr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4205</Words>
  <Characters>2397</Characters>
  <Application>Microsoft Office Word</Application>
  <DocSecurity>0</DocSecurity>
  <Lines>19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Valters</cp:lastModifiedBy>
  <cp:revision>4</cp:revision>
  <dcterms:created xsi:type="dcterms:W3CDTF">2022-02-09T12:43:00Z</dcterms:created>
  <dcterms:modified xsi:type="dcterms:W3CDTF">2022-02-09T12:57:00Z</dcterms:modified>
</cp:coreProperties>
</file>